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宋体"/>
          <w:bCs/>
          <w:sz w:val="32"/>
          <w:szCs w:val="32"/>
        </w:rPr>
      </w:pPr>
      <w:r>
        <w:rPr>
          <w:rFonts w:hint="eastAsia" w:ascii="黑体" w:hAnsi="黑体" w:eastAsia="黑体" w:cs="宋体"/>
          <w:bCs/>
          <w:sz w:val="32"/>
          <w:szCs w:val="32"/>
        </w:rPr>
        <w:t>附件4</w:t>
      </w:r>
    </w:p>
    <w:tbl>
      <w:tblPr>
        <w:tblStyle w:val="4"/>
        <w:tblW w:w="14882" w:type="dxa"/>
        <w:tblInd w:w="93" w:type="dxa"/>
        <w:tblLayout w:type="autofit"/>
        <w:tblCellMar>
          <w:top w:w="0" w:type="dxa"/>
          <w:left w:w="108" w:type="dxa"/>
          <w:bottom w:w="0" w:type="dxa"/>
          <w:right w:w="108" w:type="dxa"/>
        </w:tblCellMar>
      </w:tblPr>
      <w:tblGrid>
        <w:gridCol w:w="2045"/>
        <w:gridCol w:w="4657"/>
        <w:gridCol w:w="598"/>
        <w:gridCol w:w="598"/>
        <w:gridCol w:w="3415"/>
        <w:gridCol w:w="598"/>
        <w:gridCol w:w="598"/>
        <w:gridCol w:w="598"/>
        <w:gridCol w:w="879"/>
        <w:gridCol w:w="896"/>
      </w:tblGrid>
      <w:tr>
        <w:tblPrEx>
          <w:tblCellMar>
            <w:top w:w="0" w:type="dxa"/>
            <w:left w:w="108" w:type="dxa"/>
            <w:bottom w:w="0" w:type="dxa"/>
            <w:right w:w="108" w:type="dxa"/>
          </w:tblCellMar>
        </w:tblPrEx>
        <w:trPr>
          <w:trHeight w:val="780" w:hRule="atLeast"/>
        </w:trPr>
        <w:tc>
          <w:tcPr>
            <w:tcW w:w="14882" w:type="dxa"/>
            <w:gridSpan w:val="10"/>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bookmarkStart w:id="0" w:name="RANGE!A1:J13"/>
            <w:r>
              <w:rPr>
                <w:rFonts w:hint="eastAsia" w:ascii="黑体" w:hAnsi="黑体" w:eastAsia="黑体" w:cs="宋体"/>
                <w:kern w:val="0"/>
                <w:sz w:val="36"/>
                <w:szCs w:val="36"/>
                <w:u w:val="single"/>
              </w:rPr>
              <w:t>图书馆</w:t>
            </w:r>
            <w:r>
              <w:rPr>
                <w:rFonts w:hint="eastAsia" w:ascii="黑体" w:hAnsi="黑体" w:eastAsia="黑体" w:cs="宋体"/>
                <w:kern w:val="0"/>
                <w:sz w:val="36"/>
                <w:szCs w:val="36"/>
                <w:u w:val="single"/>
                <w:lang w:eastAsia="zh-CN"/>
              </w:rPr>
              <w:t>原木多格储物柜</w:t>
            </w:r>
            <w:r>
              <w:rPr>
                <w:rFonts w:hint="eastAsia" w:ascii="黑体" w:hAnsi="黑体" w:eastAsia="黑体" w:cs="宋体"/>
                <w:kern w:val="0"/>
                <w:sz w:val="36"/>
                <w:szCs w:val="36"/>
                <w:u w:val="single"/>
              </w:rPr>
              <w:t>采购</w:t>
            </w:r>
            <w:r>
              <w:rPr>
                <w:rFonts w:hint="eastAsia" w:ascii="黑体" w:hAnsi="黑体" w:eastAsia="黑体" w:cs="宋体"/>
                <w:kern w:val="0"/>
                <w:sz w:val="36"/>
                <w:szCs w:val="36"/>
              </w:rPr>
              <w:t>询价单</w:t>
            </w:r>
            <w:bookmarkEnd w:id="0"/>
          </w:p>
        </w:tc>
      </w:tr>
      <w:tr>
        <w:tblPrEx>
          <w:tblCellMar>
            <w:top w:w="0" w:type="dxa"/>
            <w:left w:w="108" w:type="dxa"/>
            <w:bottom w:w="0" w:type="dxa"/>
            <w:right w:w="108" w:type="dxa"/>
          </w:tblCellMar>
        </w:tblPrEx>
        <w:trPr>
          <w:trHeight w:val="540" w:hRule="atLeast"/>
        </w:trPr>
        <w:tc>
          <w:tcPr>
            <w:tcW w:w="78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采购人发出询价日期：20</w:t>
            </w:r>
            <w:r>
              <w:rPr>
                <w:rFonts w:ascii="仿宋_GB2312" w:hAnsi="宋体" w:eastAsia="仿宋_GB2312" w:cs="宋体"/>
                <w:kern w:val="0"/>
                <w:sz w:val="24"/>
                <w:szCs w:val="24"/>
              </w:rPr>
              <w:t>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val="en-US" w:eastAsia="zh-CN"/>
              </w:rPr>
              <w:t>0</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18</w:t>
            </w:r>
          </w:p>
        </w:tc>
        <w:tc>
          <w:tcPr>
            <w:tcW w:w="3415" w:type="dxa"/>
            <w:tcBorders>
              <w:top w:val="single" w:color="auto" w:sz="4" w:space="0"/>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供应商报价日期</w:t>
            </w:r>
          </w:p>
        </w:tc>
        <w:tc>
          <w:tcPr>
            <w:tcW w:w="356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435" w:hRule="atLeast"/>
        </w:trPr>
        <w:tc>
          <w:tcPr>
            <w:tcW w:w="2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采购人全称</w:t>
            </w:r>
          </w:p>
        </w:tc>
        <w:tc>
          <w:tcPr>
            <w:tcW w:w="5853" w:type="dxa"/>
            <w:gridSpan w:val="3"/>
            <w:tcBorders>
              <w:top w:val="single" w:color="auto" w:sz="4" w:space="0"/>
              <w:left w:val="nil"/>
              <w:bottom w:val="single" w:color="auto" w:sz="4" w:space="0"/>
              <w:right w:val="nil"/>
            </w:tcBorders>
            <w:shd w:val="clear" w:color="auto" w:fill="auto"/>
            <w:noWrap/>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常州纺织服装职业技术学院图书馆</w:t>
            </w:r>
          </w:p>
        </w:tc>
        <w:tc>
          <w:tcPr>
            <w:tcW w:w="3415" w:type="dxa"/>
            <w:tcBorders>
              <w:top w:val="nil"/>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供应商全称(公章)</w:t>
            </w:r>
          </w:p>
        </w:tc>
        <w:tc>
          <w:tcPr>
            <w:tcW w:w="356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480" w:hRule="atLeast"/>
        </w:trPr>
        <w:tc>
          <w:tcPr>
            <w:tcW w:w="2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采购人详细地址</w:t>
            </w:r>
          </w:p>
        </w:tc>
        <w:tc>
          <w:tcPr>
            <w:tcW w:w="585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常州市武进区</w:t>
            </w:r>
            <w:r>
              <w:rPr>
                <w:rFonts w:hint="eastAsia" w:ascii="宋体" w:hAnsi="宋体" w:eastAsia="宋体" w:cs="宋体"/>
                <w:kern w:val="0"/>
                <w:sz w:val="24"/>
                <w:szCs w:val="24"/>
              </w:rPr>
              <w:t>滆</w:t>
            </w:r>
            <w:r>
              <w:rPr>
                <w:rFonts w:hint="eastAsia" w:ascii="仿宋_GB2312" w:hAnsi="仿宋_GB2312" w:eastAsia="仿宋_GB2312" w:cs="仿宋_GB2312"/>
                <w:kern w:val="0"/>
                <w:sz w:val="24"/>
                <w:szCs w:val="24"/>
              </w:rPr>
              <w:t>湖中路</w:t>
            </w:r>
            <w:r>
              <w:rPr>
                <w:rFonts w:hint="eastAsia" w:ascii="仿宋_GB2312" w:hAnsi="宋体" w:eastAsia="仿宋_GB2312" w:cs="宋体"/>
                <w:kern w:val="0"/>
                <w:sz w:val="24"/>
                <w:szCs w:val="24"/>
              </w:rPr>
              <w:t>53号</w:t>
            </w:r>
          </w:p>
        </w:tc>
        <w:tc>
          <w:tcPr>
            <w:tcW w:w="3415" w:type="dxa"/>
            <w:tcBorders>
              <w:top w:val="nil"/>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供应商详细地址</w:t>
            </w:r>
          </w:p>
        </w:tc>
        <w:tc>
          <w:tcPr>
            <w:tcW w:w="356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trPr>
        <w:tc>
          <w:tcPr>
            <w:tcW w:w="20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经办人</w:t>
            </w:r>
          </w:p>
        </w:tc>
        <w:tc>
          <w:tcPr>
            <w:tcW w:w="5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倪聆</w:t>
            </w:r>
          </w:p>
        </w:tc>
        <w:tc>
          <w:tcPr>
            <w:tcW w:w="3415" w:type="dxa"/>
            <w:tcBorders>
              <w:top w:val="nil"/>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联系人、联系电话</w:t>
            </w:r>
          </w:p>
        </w:tc>
        <w:tc>
          <w:tcPr>
            <w:tcW w:w="356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40" w:hRule="atLeast"/>
        </w:trPr>
        <w:tc>
          <w:tcPr>
            <w:tcW w:w="20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585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名称、规格、型号及主要性能</w:t>
            </w:r>
          </w:p>
        </w:tc>
        <w:tc>
          <w:tcPr>
            <w:tcW w:w="3415" w:type="dxa"/>
            <w:tcBorders>
              <w:top w:val="nil"/>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响应规格、型号及主要性能</w:t>
            </w: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单价</w:t>
            </w: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总价</w:t>
            </w: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产地</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质保期</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供货期</w:t>
            </w:r>
          </w:p>
        </w:tc>
      </w:tr>
      <w:tr>
        <w:tblPrEx>
          <w:tblCellMar>
            <w:top w:w="0" w:type="dxa"/>
            <w:left w:w="108" w:type="dxa"/>
            <w:bottom w:w="0" w:type="dxa"/>
            <w:right w:w="108" w:type="dxa"/>
          </w:tblCellMar>
        </w:tblPrEx>
        <w:trPr>
          <w:trHeight w:val="1079" w:hRule="atLeast"/>
        </w:trPr>
        <w:tc>
          <w:tcPr>
            <w:tcW w:w="20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585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名称：</w:t>
            </w:r>
            <w:r>
              <w:rPr>
                <w:rFonts w:hint="eastAsia" w:ascii="仿宋_GB2312" w:hAnsi="宋体" w:eastAsia="仿宋_GB2312" w:cs="宋体"/>
                <w:kern w:val="0"/>
                <w:sz w:val="24"/>
                <w:szCs w:val="24"/>
                <w:lang w:eastAsia="zh-CN"/>
              </w:rPr>
              <w:t>原木多格储物柜</w:t>
            </w:r>
          </w:p>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尺寸：</w:t>
            </w:r>
            <w:r>
              <w:rPr>
                <w:rFonts w:hint="eastAsia" w:ascii="仿宋_GB2312" w:hAnsi="宋体" w:eastAsia="仿宋_GB2312" w:cs="宋体"/>
                <w:kern w:val="0"/>
                <w:sz w:val="24"/>
                <w:szCs w:val="24"/>
                <w:lang w:val="en-US" w:eastAsia="zh-CN"/>
              </w:rPr>
              <w:t>220cm（长）</w:t>
            </w:r>
            <w:r>
              <w:rPr>
                <w:rFonts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35cm（宽）</w:t>
            </w:r>
            <w:r>
              <w:rPr>
                <w:rFonts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10</w:t>
            </w:r>
            <w:r>
              <w:rPr>
                <w:rFonts w:ascii="仿宋_GB2312" w:hAnsi="宋体" w:eastAsia="仿宋_GB2312" w:cs="宋体"/>
                <w:kern w:val="0"/>
                <w:sz w:val="24"/>
                <w:szCs w:val="24"/>
              </w:rPr>
              <w:t>0</w:t>
            </w:r>
            <w:r>
              <w:rPr>
                <w:rFonts w:hint="eastAsia" w:ascii="仿宋_GB2312" w:hAnsi="宋体" w:eastAsia="仿宋_GB2312" w:cs="宋体"/>
                <w:kern w:val="0"/>
                <w:sz w:val="24"/>
                <w:szCs w:val="24"/>
                <w:lang w:val="en-US" w:eastAsia="zh-CN"/>
              </w:rPr>
              <w:t>cm</w:t>
            </w:r>
            <w:r>
              <w:rPr>
                <w:rFonts w:hint="eastAsia" w:ascii="仿宋_GB2312" w:hAnsi="宋体" w:eastAsia="仿宋_GB2312" w:cs="宋体"/>
                <w:kern w:val="0"/>
                <w:sz w:val="24"/>
                <w:szCs w:val="24"/>
                <w:lang w:eastAsia="zh-CN"/>
              </w:rPr>
              <w:t>（高）长分</w:t>
            </w:r>
            <w:r>
              <w:rPr>
                <w:rFonts w:hint="eastAsia" w:ascii="仿宋_GB2312" w:hAnsi="宋体" w:eastAsia="仿宋_GB2312" w:cs="宋体"/>
                <w:kern w:val="0"/>
                <w:sz w:val="24"/>
                <w:szCs w:val="24"/>
                <w:lang w:val="en-US" w:eastAsia="zh-CN"/>
              </w:rPr>
              <w:t>5格高分3格</w:t>
            </w:r>
            <w:r>
              <w:rPr>
                <w:rFonts w:hint="eastAsia" w:ascii="仿宋_GB2312" w:hAnsi="宋体" w:eastAsia="仿宋_GB2312" w:cs="宋体"/>
                <w:kern w:val="0"/>
                <w:sz w:val="24"/>
                <w:szCs w:val="24"/>
                <w:lang w:eastAsia="zh-CN"/>
              </w:rPr>
              <w:t>共分</w:t>
            </w:r>
            <w:r>
              <w:rPr>
                <w:rFonts w:hint="eastAsia" w:ascii="仿宋_GB2312" w:hAnsi="宋体" w:eastAsia="仿宋_GB2312" w:cs="宋体"/>
                <w:kern w:val="0"/>
                <w:sz w:val="24"/>
                <w:szCs w:val="24"/>
                <w:lang w:val="en-US" w:eastAsia="zh-CN"/>
              </w:rPr>
              <w:t>15格</w:t>
            </w:r>
            <w:r>
              <w:rPr>
                <w:rFonts w:hint="eastAsia" w:ascii="仿宋_GB2312" w:hAnsi="宋体" w:eastAsia="仿宋_GB2312" w:cs="宋体"/>
                <w:kern w:val="0"/>
                <w:sz w:val="24"/>
                <w:szCs w:val="24"/>
                <w:lang w:eastAsia="zh-CN"/>
              </w:rPr>
              <w:t>。</w:t>
            </w:r>
          </w:p>
          <w:p>
            <w:pPr>
              <w:widowControl/>
              <w:ind w:left="720" w:hanging="720" w:hangingChars="300"/>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数量：</w:t>
            </w: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lang w:eastAsia="zh-CN"/>
              </w:rPr>
              <w:t>个。</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颜色：原木色</w:t>
            </w:r>
          </w:p>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1、材质：（1）基材采用兔宝宝、露水河、莫干山等品牌</w:t>
            </w:r>
            <w:r>
              <w:rPr>
                <w:rFonts w:ascii="仿宋_GB2312" w:hAnsi="宋体" w:eastAsia="仿宋_GB2312" w:cs="宋体"/>
                <w:kern w:val="0"/>
                <w:sz w:val="24"/>
                <w:szCs w:val="24"/>
              </w:rPr>
              <w:t>E0级</w:t>
            </w:r>
            <w:r>
              <w:rPr>
                <w:rFonts w:hint="eastAsia" w:ascii="仿宋_GB2312" w:hAnsi="宋体" w:eastAsia="仿宋_GB2312" w:cs="宋体"/>
                <w:kern w:val="0"/>
                <w:sz w:val="24"/>
                <w:szCs w:val="24"/>
                <w:lang w:eastAsia="zh-CN"/>
              </w:rPr>
              <w:t>免漆</w:t>
            </w:r>
            <w:r>
              <w:rPr>
                <w:rFonts w:ascii="仿宋_GB2312" w:hAnsi="宋体" w:eastAsia="仿宋_GB2312" w:cs="宋体"/>
                <w:kern w:val="0"/>
                <w:sz w:val="24"/>
                <w:szCs w:val="24"/>
              </w:rPr>
              <w:t>实木多层板，甲醛释放量≤0.02mg/m³,</w:t>
            </w:r>
            <w:r>
              <w:rPr>
                <w:rFonts w:hint="eastAsia" w:ascii="仿宋_GB2312" w:hAnsi="宋体" w:eastAsia="仿宋_GB2312" w:cs="宋体"/>
                <w:kern w:val="0"/>
                <w:sz w:val="24"/>
                <w:szCs w:val="24"/>
              </w:rPr>
              <w:t>第一层</w:t>
            </w:r>
            <w:r>
              <w:rPr>
                <w:rFonts w:hint="eastAsia" w:ascii="仿宋_GB2312" w:hAnsi="宋体" w:eastAsia="仿宋_GB2312" w:cs="宋体"/>
                <w:kern w:val="0"/>
                <w:sz w:val="24"/>
                <w:szCs w:val="24"/>
                <w:lang w:eastAsia="zh-CN"/>
              </w:rPr>
              <w:t>柜</w:t>
            </w:r>
            <w:r>
              <w:rPr>
                <w:rFonts w:hint="eastAsia" w:ascii="仿宋_GB2312" w:hAnsi="宋体" w:eastAsia="仿宋_GB2312" w:cs="宋体"/>
                <w:kern w:val="0"/>
                <w:sz w:val="24"/>
                <w:szCs w:val="24"/>
              </w:rPr>
              <w:t>面</w:t>
            </w:r>
            <w:r>
              <w:rPr>
                <w:rFonts w:hint="eastAsia" w:ascii="仿宋_GB2312" w:hAnsi="宋体" w:eastAsia="仿宋_GB2312" w:cs="宋体"/>
                <w:kern w:val="0"/>
                <w:sz w:val="24"/>
                <w:szCs w:val="24"/>
                <w:lang w:eastAsia="zh-CN"/>
              </w:rPr>
              <w:t>层板</w:t>
            </w:r>
            <w:r>
              <w:rPr>
                <w:rFonts w:ascii="仿宋_GB2312" w:hAnsi="宋体" w:eastAsia="仿宋_GB2312" w:cs="宋体"/>
                <w:kern w:val="0"/>
                <w:sz w:val="24"/>
                <w:szCs w:val="24"/>
              </w:rPr>
              <w:t>厚度25mm;</w:t>
            </w:r>
            <w:r>
              <w:rPr>
                <w:rFonts w:hint="eastAsia" w:ascii="仿宋_GB2312" w:hAnsi="宋体" w:eastAsia="仿宋_GB2312" w:cs="宋体"/>
                <w:kern w:val="0"/>
                <w:sz w:val="24"/>
                <w:szCs w:val="24"/>
                <w:lang w:eastAsia="zh-CN"/>
              </w:rPr>
              <w:t>柜子两侧、背面及中间隔板</w:t>
            </w:r>
            <w:r>
              <w:rPr>
                <w:rFonts w:ascii="仿宋_GB2312" w:hAnsi="宋体" w:eastAsia="仿宋_GB2312" w:cs="宋体"/>
                <w:kern w:val="0"/>
                <w:sz w:val="24"/>
                <w:szCs w:val="24"/>
              </w:rPr>
              <w:t>厚度18mm</w:t>
            </w:r>
            <w:r>
              <w:rPr>
                <w:rFonts w:hint="eastAsia" w:ascii="仿宋_GB2312" w:hAnsi="宋体" w:eastAsia="仿宋_GB2312" w:cs="宋体"/>
                <w:kern w:val="0"/>
                <w:sz w:val="24"/>
                <w:szCs w:val="24"/>
                <w:lang w:val="en-US" w:eastAsia="zh-CN"/>
              </w:rPr>
              <w:t>。</w:t>
            </w:r>
            <w:r>
              <w:rPr>
                <w:rFonts w:hint="eastAsia" w:ascii="仿宋_GB2312" w:hAnsi="宋体" w:eastAsia="仿宋_GB2312" w:cs="宋体"/>
                <w:kern w:val="0"/>
                <w:sz w:val="24"/>
                <w:szCs w:val="24"/>
              </w:rPr>
              <w:t>（2）</w:t>
            </w:r>
            <w:r>
              <w:rPr>
                <w:rFonts w:ascii="仿宋_GB2312" w:hAnsi="宋体" w:eastAsia="仿宋_GB2312" w:cs="宋体"/>
                <w:kern w:val="0"/>
                <w:sz w:val="24"/>
                <w:szCs w:val="24"/>
              </w:rPr>
              <w:t>封边：</w:t>
            </w:r>
            <w:r>
              <w:rPr>
                <w:rFonts w:hint="eastAsia" w:ascii="仿宋_GB2312" w:hAnsi="宋体" w:eastAsia="仿宋_GB2312" w:cs="宋体"/>
                <w:kern w:val="0"/>
                <w:sz w:val="24"/>
                <w:szCs w:val="24"/>
                <w:lang w:val="en-US" w:eastAsia="zh-CN"/>
              </w:rPr>
              <w:t>2mm同色，</w:t>
            </w:r>
            <w:r>
              <w:rPr>
                <w:rFonts w:ascii="仿宋_GB2312" w:hAnsi="宋体" w:eastAsia="仿宋_GB2312" w:cs="宋体"/>
                <w:kern w:val="0"/>
                <w:sz w:val="24"/>
                <w:szCs w:val="24"/>
              </w:rPr>
              <w:t>PVC热熔封边；</w:t>
            </w:r>
            <w:r>
              <w:rPr>
                <w:rFonts w:hint="eastAsia" w:ascii="仿宋_GB2312" w:hAnsi="宋体" w:eastAsia="仿宋_GB2312" w:cs="宋体"/>
                <w:kern w:val="0"/>
                <w:sz w:val="24"/>
                <w:szCs w:val="24"/>
                <w:lang w:eastAsia="zh-CN"/>
              </w:rPr>
              <w:t>平直不离胶</w:t>
            </w:r>
            <w:r>
              <w:rPr>
                <w:rFonts w:ascii="仿宋_GB2312" w:hAnsi="宋体" w:eastAsia="仿宋_GB2312" w:cs="宋体"/>
                <w:kern w:val="0"/>
                <w:sz w:val="24"/>
                <w:szCs w:val="24"/>
              </w:rPr>
              <w:t>，不变形</w:t>
            </w:r>
            <w:r>
              <w:rPr>
                <w:rFonts w:hint="eastAsia" w:ascii="仿宋_GB2312" w:hAnsi="宋体" w:eastAsia="仿宋_GB2312" w:cs="宋体"/>
                <w:kern w:val="0"/>
                <w:sz w:val="24"/>
                <w:szCs w:val="24"/>
                <w:lang w:eastAsia="zh-CN"/>
              </w:rPr>
              <w:t>，修边平滑</w:t>
            </w:r>
            <w:r>
              <w:rPr>
                <w:rFonts w:ascii="仿宋_GB2312" w:hAnsi="宋体" w:eastAsia="仿宋_GB2312" w:cs="宋体"/>
                <w:kern w:val="0"/>
                <w:sz w:val="24"/>
                <w:szCs w:val="24"/>
              </w:rPr>
              <w:t>；</w:t>
            </w:r>
            <w:r>
              <w:rPr>
                <w:rFonts w:hint="eastAsia" w:ascii="仿宋_GB2312" w:hAnsi="宋体" w:eastAsia="仿宋_GB2312" w:cs="宋体"/>
                <w:kern w:val="0"/>
                <w:sz w:val="24"/>
                <w:szCs w:val="24"/>
              </w:rPr>
              <w:t>（3）</w:t>
            </w:r>
            <w:r>
              <w:rPr>
                <w:rFonts w:hint="eastAsia" w:ascii="仿宋_GB2312" w:hAnsi="宋体" w:eastAsia="仿宋_GB2312" w:cs="宋体"/>
                <w:kern w:val="0"/>
                <w:sz w:val="24"/>
                <w:szCs w:val="24"/>
                <w:lang w:eastAsia="zh-CN"/>
              </w:rPr>
              <w:t>储物柜底板离地面设踢脚线，约</w:t>
            </w:r>
            <w:r>
              <w:rPr>
                <w:rFonts w:hint="eastAsia" w:ascii="仿宋_GB2312" w:hAnsi="宋体" w:eastAsia="仿宋_GB2312" w:cs="宋体"/>
                <w:kern w:val="0"/>
                <w:sz w:val="24"/>
                <w:szCs w:val="24"/>
                <w:lang w:val="en-US" w:eastAsia="zh-CN"/>
              </w:rPr>
              <w:t>8cm。</w:t>
            </w:r>
            <w:r>
              <w:rPr>
                <w:rFonts w:hint="eastAsia" w:ascii="仿宋_GB2312" w:hAnsi="宋体" w:eastAsia="仿宋_GB2312" w:cs="宋体"/>
                <w:kern w:val="0"/>
                <w:sz w:val="24"/>
                <w:szCs w:val="24"/>
              </w:rPr>
              <w:t>（4）</w:t>
            </w:r>
            <w:r>
              <w:rPr>
                <w:rFonts w:ascii="仿宋_GB2312" w:hAnsi="宋体" w:eastAsia="仿宋_GB2312" w:cs="宋体"/>
                <w:kern w:val="0"/>
                <w:sz w:val="24"/>
                <w:szCs w:val="24"/>
              </w:rPr>
              <w:t>优质环保胶粘剂；</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w:t>
            </w:r>
            <w:r>
              <w:rPr>
                <w:rFonts w:ascii="仿宋_GB2312" w:hAnsi="宋体" w:eastAsia="仿宋_GB2312" w:cs="宋体"/>
                <w:kern w:val="0"/>
                <w:sz w:val="24"/>
                <w:szCs w:val="24"/>
              </w:rPr>
              <w:t>五金件：优质五金件</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6</w:t>
            </w:r>
            <w:r>
              <w:rPr>
                <w:rFonts w:hint="eastAsia" w:ascii="仿宋_GB2312" w:hAnsi="宋体" w:eastAsia="仿宋_GB2312" w:cs="宋体"/>
                <w:kern w:val="0"/>
                <w:sz w:val="24"/>
                <w:szCs w:val="24"/>
                <w:lang w:eastAsia="zh-CN"/>
              </w:rPr>
              <w:t>）产品具备环保证书、售后服务证书。</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售后服务及质保期要求：（1）免费质保期不低于3年，免费质保期从验收合格之日起算。（2）所供货物要求实行终身维保；家具制造商应提供货物最低使用年限承诺，在此期间内，不应发生非人为原因的重大故障，否则采购方有权追溯家具制造商的责任。（3）在质保期内，因家具制造商所供货物制造质量问题出现故障时，家具制造商在接到采购方通知后1小时内响应，24小时内赶到采购方项目现场，免费予以排除故障、修复或更换零部件。（4）在质保期内，因采购方使用不当原因出现故障时，家具制造商在接到采购方通知后，应在上述的时限内赶到采购方现场，帮助排除故障、修复或更换零部件，需更换零部件时，酌情收取成本费。（5）在质保期满后，货物出现故障时，家具制造商仍需做好售后服务，并在上述时限内赶到现场，及时处理解决。（6）在质保期内，家具制造商能免费帮助拆装一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3、交货期要求：自合同签订之日起一个月内，所有家具制作完成，透气摆放后再包装进场，并按指定位置安装到位。</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4、付款方式和条件:</w:t>
            </w:r>
            <w:r>
              <w:rPr>
                <w:rFonts w:hint="eastAsia" w:ascii="宋体" w:hAnsi="宋体" w:eastAsia="宋体" w:cs="Times New Roman"/>
                <w:color w:val="000000"/>
                <w:sz w:val="24"/>
                <w:szCs w:val="24"/>
              </w:rPr>
              <w:t xml:space="preserve"> </w:t>
            </w:r>
            <w:r>
              <w:rPr>
                <w:rFonts w:hint="eastAsia" w:ascii="仿宋" w:hAnsi="仿宋" w:eastAsia="仿宋" w:cs="Times New Roman"/>
                <w:color w:val="000000"/>
                <w:sz w:val="24"/>
                <w:szCs w:val="24"/>
              </w:rPr>
              <w:t>（1）</w:t>
            </w:r>
            <w:r>
              <w:rPr>
                <w:rFonts w:hint="eastAsia" w:ascii="仿宋" w:hAnsi="仿宋" w:eastAsia="仿宋" w:cs="Times New Roman"/>
                <w:bCs/>
                <w:color w:val="000000"/>
                <w:sz w:val="24"/>
                <w:szCs w:val="24"/>
              </w:rPr>
              <w:t>本项目无预付款，</w:t>
            </w:r>
            <w:r>
              <w:rPr>
                <w:rFonts w:hint="eastAsia" w:ascii="仿宋_GB2312" w:hAnsi="宋体" w:eastAsia="仿宋_GB2312" w:cs="宋体"/>
                <w:kern w:val="0"/>
                <w:sz w:val="24"/>
                <w:szCs w:val="24"/>
              </w:rPr>
              <w:t>货到安装并验收合格后采购方支付全部合同款项。（2）家具制造商在10个工作日内向采购方提供合规发票，采购方以转账方式向供货方付清全款。</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5、质量保证：（1）家具制造商所提供的货物的技术规格应与采购需求规定的技术规格相一致。（2）家具制造商应保证货物是全新、未使用过的原装合格正品，并完全符合合同规定的质量、规格和性能的要求。家具制造商应保证其提供的货物在正确安装、正常使用和保养条件下，在其使用寿命内具有良好的性能。货物验收后，在质量保证期内，家具制造商应对由于设计、工艺或材料的缺陷所发生的任何不足或故障负责，所需费用由家具制造商承担。（3）所选用主材、辅材须达到或超过国家环保相关规定的要求，且必须经过国家法定环保检测机构检验合格，并提供相关认证证书。 </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6、验收：（1）采购方将按照采购文件及规定的技术标准进行检验，如果与文件规定不符，在质量及感官标准上有明显差异或环保指标不达标的，将加倍抽样检验（并对部分产品作破坏性检测），若加倍抽样仍不合格，将判定所供家具不合格。</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（2）家具制造商须提供本厂自己的产品技术标准及检测标准，及质量检验不合格后自愿受到的处罚条件。</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对货物安装验收不合格时，家具制造商应予以免费调换，直至符合规定，采购方不承担因调退货而发生的任何费用和责任，如因家具产品质量给采购方带来的损失，家具制造商还应赔偿采购方直接损失费用。</w:t>
            </w:r>
          </w:p>
        </w:tc>
        <w:tc>
          <w:tcPr>
            <w:tcW w:w="3415" w:type="dxa"/>
            <w:tcBorders>
              <w:top w:val="nil"/>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p>
        </w:tc>
        <w:tc>
          <w:tcPr>
            <w:tcW w:w="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0" w:hRule="atLeast"/>
        </w:trPr>
        <w:tc>
          <w:tcPr>
            <w:tcW w:w="2045" w:type="dxa"/>
            <w:tcBorders>
              <w:top w:val="nil"/>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28"/>
                <w:szCs w:val="28"/>
              </w:rPr>
            </w:pPr>
          </w:p>
          <w:p>
            <w:pPr>
              <w:widowControl/>
              <w:jc w:val="center"/>
              <w:rPr>
                <w:rFonts w:ascii="Times New Roman" w:hAnsi="Times New Roman" w:eastAsia="宋体" w:cs="Times New Roman"/>
                <w:kern w:val="0"/>
                <w:sz w:val="28"/>
                <w:szCs w:val="28"/>
              </w:rPr>
            </w:pPr>
          </w:p>
        </w:tc>
        <w:tc>
          <w:tcPr>
            <w:tcW w:w="5853" w:type="dxa"/>
            <w:gridSpan w:val="3"/>
            <w:tcBorders>
              <w:top w:val="single" w:color="auto" w:sz="4" w:space="0"/>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项目负责人：林老师</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电话：</w:t>
            </w:r>
            <w:r>
              <w:rPr>
                <w:rFonts w:ascii="仿宋_GB2312" w:hAnsi="宋体" w:eastAsia="仿宋_GB2312" w:cs="宋体"/>
                <w:kern w:val="0"/>
                <w:sz w:val="24"/>
                <w:szCs w:val="24"/>
              </w:rPr>
              <w:t>0519-86336188</w:t>
            </w:r>
          </w:p>
        </w:tc>
        <w:tc>
          <w:tcPr>
            <w:tcW w:w="3415" w:type="dxa"/>
            <w:tcBorders>
              <w:top w:val="nil"/>
              <w:left w:val="dotDotDash" w:color="auto" w:sz="8" w:space="0"/>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总报价：人民币            </w:t>
            </w:r>
          </w:p>
        </w:tc>
        <w:tc>
          <w:tcPr>
            <w:tcW w:w="356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435" w:hRule="atLeast"/>
        </w:trPr>
        <w:tc>
          <w:tcPr>
            <w:tcW w:w="20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报价截止日期</w:t>
            </w:r>
          </w:p>
        </w:tc>
        <w:tc>
          <w:tcPr>
            <w:tcW w:w="5853" w:type="dxa"/>
            <w:gridSpan w:val="3"/>
            <w:tcBorders>
              <w:top w:val="single" w:color="auto" w:sz="4" w:space="0"/>
              <w:left w:val="nil"/>
              <w:bottom w:val="single" w:color="auto" w:sz="4" w:space="0"/>
              <w:right w:val="nil"/>
            </w:tcBorders>
            <w:shd w:val="clear" w:color="auto" w:fill="auto"/>
            <w:noWrap/>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20</w:t>
            </w:r>
            <w:r>
              <w:rPr>
                <w:rFonts w:ascii="仿宋_GB2312" w:hAnsi="宋体" w:eastAsia="仿宋_GB2312" w:cs="宋体"/>
                <w:kern w:val="0"/>
                <w:sz w:val="24"/>
                <w:szCs w:val="24"/>
              </w:rPr>
              <w:t>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val="en-US" w:eastAsia="zh-CN"/>
              </w:rPr>
              <w:t>0</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21</w:t>
            </w:r>
            <w:bookmarkStart w:id="1" w:name="_GoBack"/>
            <w:bookmarkEnd w:id="1"/>
          </w:p>
        </w:tc>
        <w:tc>
          <w:tcPr>
            <w:tcW w:w="6984" w:type="dxa"/>
            <w:gridSpan w:val="6"/>
            <w:tcBorders>
              <w:top w:val="single" w:color="auto" w:sz="4" w:space="0"/>
              <w:left w:val="dotDotDash" w:color="auto" w:sz="8"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465" w:hRule="atLeast"/>
        </w:trPr>
        <w:tc>
          <w:tcPr>
            <w:tcW w:w="7898" w:type="dxa"/>
            <w:gridSpan w:val="4"/>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以上为采购人填写</w:t>
            </w:r>
          </w:p>
        </w:tc>
        <w:tc>
          <w:tcPr>
            <w:tcW w:w="6984" w:type="dxa"/>
            <w:gridSpan w:val="6"/>
            <w:tcBorders>
              <w:top w:val="single" w:color="auto" w:sz="4" w:space="0"/>
              <w:left w:val="dotDotDash" w:color="auto" w:sz="8"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以上为供货商填写</w:t>
            </w:r>
          </w:p>
        </w:tc>
      </w:tr>
      <w:tr>
        <w:tblPrEx>
          <w:tblCellMar>
            <w:top w:w="0" w:type="dxa"/>
            <w:left w:w="108" w:type="dxa"/>
            <w:bottom w:w="0" w:type="dxa"/>
            <w:right w:w="108" w:type="dxa"/>
          </w:tblCellMar>
        </w:tblPrEx>
        <w:trPr>
          <w:trHeight w:val="375" w:hRule="atLeast"/>
        </w:trPr>
        <w:tc>
          <w:tcPr>
            <w:tcW w:w="2045"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备注：</w:t>
            </w:r>
          </w:p>
        </w:tc>
        <w:tc>
          <w:tcPr>
            <w:tcW w:w="4657"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598"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598"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3415"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c>
          <w:tcPr>
            <w:tcW w:w="598"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c>
          <w:tcPr>
            <w:tcW w:w="598"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c>
          <w:tcPr>
            <w:tcW w:w="598"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c>
          <w:tcPr>
            <w:tcW w:w="879"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c>
          <w:tcPr>
            <w:tcW w:w="896" w:type="dxa"/>
            <w:tcBorders>
              <w:top w:val="nil"/>
              <w:left w:val="nil"/>
              <w:bottom w:val="nil"/>
              <w:right w:val="nil"/>
            </w:tcBorders>
            <w:shd w:val="clear" w:color="auto" w:fill="auto"/>
            <w:noWrap/>
            <w:vAlign w:val="center"/>
          </w:tcPr>
          <w:p>
            <w:pPr>
              <w:widowControl/>
              <w:jc w:val="center"/>
              <w:rPr>
                <w:rFonts w:ascii="宋体" w:hAnsi="宋体" w:eastAsia="宋体" w:cs="宋体"/>
                <w:color w:val="339966"/>
                <w:kern w:val="0"/>
                <w:sz w:val="24"/>
                <w:szCs w:val="24"/>
              </w:rPr>
            </w:pPr>
          </w:p>
        </w:tc>
      </w:tr>
      <w:tr>
        <w:tblPrEx>
          <w:tblCellMar>
            <w:top w:w="0" w:type="dxa"/>
            <w:left w:w="108" w:type="dxa"/>
            <w:bottom w:w="0" w:type="dxa"/>
            <w:right w:w="108" w:type="dxa"/>
          </w:tblCellMar>
        </w:tblPrEx>
        <w:trPr>
          <w:trHeight w:val="1620" w:hRule="atLeast"/>
        </w:trPr>
        <w:tc>
          <w:tcPr>
            <w:tcW w:w="14882" w:type="dxa"/>
            <w:gridSpan w:val="10"/>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1、请在询价单虚线右方填写</w:t>
            </w:r>
            <w:r>
              <w:rPr>
                <w:rFonts w:hint="eastAsia" w:ascii="仿宋_GB2312" w:hAnsi="宋体" w:eastAsia="仿宋_GB2312" w:cs="宋体"/>
                <w:b/>
                <w:kern w:val="0"/>
                <w:sz w:val="24"/>
                <w:szCs w:val="24"/>
              </w:rPr>
              <w:t>响应采购人货物参数的情况、报价等</w:t>
            </w:r>
            <w:r>
              <w:rPr>
                <w:rFonts w:hint="eastAsia" w:ascii="仿宋_GB2312" w:hAnsi="宋体" w:eastAsia="仿宋_GB2312" w:cs="宋体"/>
                <w:kern w:val="0"/>
                <w:sz w:val="24"/>
                <w:szCs w:val="24"/>
              </w:rPr>
              <w:t>内容，打印后盖上单位公章。                                                                                                                               2、附上单位资质证明材料复印件（包括营业执照、组织机构代码证、税务登记证或三证合一），复印件加盖单位公章。</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3、将以上材料装文件袋密封后盖上骑缝章。通讯方式：常州纺织服装职业技术学院图书馆办公室（1210），倪老师 0519-86336116。</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5、若对采购内容有异议，请在三天内以书面形式向采购单位监察处反映。联系电话：0519-86336073。                                                                                                                                                                                                                                                                                                                                                                                                                                                                                                                                                                                                                                                                                                                                                                                                                                                                                                                                                                                                                                                                                                                                                                                                                                                                                                                                                                                                                                                                                                                                                        </w:t>
            </w:r>
          </w:p>
        </w:tc>
      </w:tr>
    </w:tbl>
    <w:p/>
    <w:sectPr>
      <w:pgSz w:w="16838" w:h="11906" w:orient="landscape"/>
      <w:pgMar w:top="567" w:right="1440" w:bottom="107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TI2ZGRmYzcwMGMzZjIwY2YwN2EwNjM1NGFjYTkifQ=="/>
  </w:docVars>
  <w:rsids>
    <w:rsidRoot w:val="00C2235F"/>
    <w:rsid w:val="001F0F21"/>
    <w:rsid w:val="00336A81"/>
    <w:rsid w:val="006D68D2"/>
    <w:rsid w:val="009967BF"/>
    <w:rsid w:val="00C2235F"/>
    <w:rsid w:val="00D9504E"/>
    <w:rsid w:val="00EC03D2"/>
    <w:rsid w:val="00F117F5"/>
    <w:rsid w:val="025253D2"/>
    <w:rsid w:val="18327AC7"/>
    <w:rsid w:val="1D5237C9"/>
    <w:rsid w:val="218B121A"/>
    <w:rsid w:val="22561186"/>
    <w:rsid w:val="27206206"/>
    <w:rsid w:val="2D2745DD"/>
    <w:rsid w:val="2EA76E90"/>
    <w:rsid w:val="383733B0"/>
    <w:rsid w:val="3F5342D5"/>
    <w:rsid w:val="43030BA2"/>
    <w:rsid w:val="49141D6A"/>
    <w:rsid w:val="49AC09D2"/>
    <w:rsid w:val="51503F23"/>
    <w:rsid w:val="58281AC0"/>
    <w:rsid w:val="58B43A65"/>
    <w:rsid w:val="59E83C36"/>
    <w:rsid w:val="691517B3"/>
    <w:rsid w:val="6F5431B0"/>
    <w:rsid w:val="74D70DD6"/>
    <w:rsid w:val="78632E2A"/>
    <w:rsid w:val="7A2B4E39"/>
    <w:rsid w:val="7B84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1713</Words>
  <Characters>1810</Characters>
  <Lines>25</Lines>
  <Paragraphs>7</Paragraphs>
  <TotalTime>10</TotalTime>
  <ScaleCrop>false</ScaleCrop>
  <LinksUpToDate>false</LinksUpToDate>
  <CharactersWithSpaces>3449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2021-11-23T01:57:00Z</dcterms:created>
  <dc:creator>微软用户</dc:creator>
  <cp:lastModifiedBy>WPS_1640566269</cp:lastModifiedBy>
  <dcterms:modified xsi:type="dcterms:W3CDTF">2022-10-18T07:34:44Z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67EB15B60F3E469C935E3875AAAEA4D8</vt:lpwstr>
  </property>
</Properties>
</file>